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Times New Roman" w:cs="Times New Roman" w:hAnsi="Times New Roman"/>
          <w:sz w:val="52"/>
          <w:szCs w:val="52"/>
        </w:rPr>
      </w:pPr>
    </w:p>
    <w:p>
      <w:pPr>
        <w:pStyle w:val="style0"/>
        <w:jc w:val="center"/>
        <w:rPr>
          <w:rFonts w:ascii="Times New Roman" w:cs="Times New Roman" w:hAnsi="Times New Roman"/>
          <w:sz w:val="52"/>
          <w:szCs w:val="52"/>
        </w:rPr>
      </w:pPr>
    </w:p>
    <w:p>
      <w:pPr>
        <w:pStyle w:val="style0"/>
        <w:jc w:val="center"/>
        <w:rPr>
          <w:rFonts w:ascii="Times New Roman" w:cs="Times New Roman" w:hAnsi="Times New Roman"/>
          <w:sz w:val="440"/>
          <w:szCs w:val="144"/>
        </w:rPr>
      </w:pPr>
      <w:r>
        <w:rPr>
          <w:rFonts w:ascii="Times New Roman" w:cs="Times New Roman" w:hAnsi="Times New Roman"/>
          <w:sz w:val="440"/>
          <w:szCs w:val="144"/>
        </w:rPr>
        <w:t>ADI</w:t>
      </w:r>
    </w:p>
    <w:p>
      <w:pPr>
        <w:pStyle w:val="style0"/>
        <w:jc w:val="center"/>
        <w:rPr>
          <w:rFonts w:ascii="Times New Roman" w:cs="Times New Roman" w:hAnsi="Times New Roman"/>
          <w:sz w:val="96"/>
          <w:szCs w:val="56"/>
        </w:rPr>
      </w:pPr>
      <w:r>
        <w:rPr>
          <w:rFonts w:ascii="Times New Roman" w:cs="Times New Roman" w:hAnsi="Times New Roman"/>
          <w:sz w:val="96"/>
          <w:szCs w:val="56"/>
        </w:rPr>
        <w:t>COLLEGE OF COUNSELLING AND PSYCHOTHERAPY NIGERIA (ADI-CCPN)</w:t>
      </w:r>
    </w:p>
    <w:p>
      <w:pPr>
        <w:pStyle w:val="style0"/>
        <w:jc w:val="center"/>
        <w:rPr>
          <w:rFonts w:ascii="Times New Roman" w:cs="Times New Roman" w:hAnsi="Times New Roman"/>
          <w:sz w:val="96"/>
          <w:szCs w:val="56"/>
        </w:rPr>
      </w:pPr>
      <w:r>
        <w:rPr>
          <w:rFonts w:ascii="Times New Roman" w:cs="Times New Roman" w:hAnsi="Times New Roman"/>
          <w:sz w:val="96"/>
          <w:szCs w:val="56"/>
        </w:rPr>
        <w:t>Course Policies</w:t>
      </w:r>
    </w:p>
    <w:p>
      <w:pPr>
        <w:pStyle w:val="style0"/>
        <w:rPr>
          <w:rFonts w:ascii="Times New Roman" w:cs="Times New Roman" w:hAnsi="Times New Roman"/>
          <w:sz w:val="48"/>
          <w:szCs w:val="48"/>
        </w:rPr>
      </w:pPr>
    </w:p>
    <w:p>
      <w:pPr>
        <w:pStyle w:val="style0"/>
        <w:rPr>
          <w:rFonts w:ascii="Times New Roman" w:cs="Times New Roman" w:hAnsi="Times New Roman"/>
          <w:sz w:val="48"/>
          <w:szCs w:val="48"/>
        </w:rPr>
      </w:pPr>
      <w:r>
        <w:rPr>
          <w:rFonts w:ascii="Times New Roman" w:cs="Times New Roman" w:hAnsi="Times New Roman"/>
          <w:sz w:val="48"/>
          <w:szCs w:val="48"/>
        </w:rPr>
        <w:t>Welcome, Students!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Welcome to ADI Counse</w:t>
      </w:r>
      <w:r>
        <w:rPr>
          <w:rFonts w:ascii="Times New Roman" w:cs="Times New Roman" w:hAnsi="Times New Roman"/>
          <w:sz w:val="28"/>
          <w:szCs w:val="28"/>
        </w:rPr>
        <w:t>ling School, where lives are transformed through excellence i</w:t>
      </w:r>
      <w:r>
        <w:rPr>
          <w:rFonts w:ascii="Times New Roman" w:cs="Times New Roman" w:hAnsi="Times New Roman"/>
          <w:sz w:val="28"/>
          <w:szCs w:val="28"/>
        </w:rPr>
        <w:t>n professional Christian Counse</w:t>
      </w:r>
      <w:r>
        <w:rPr>
          <w:rFonts w:ascii="Times New Roman" w:cs="Times New Roman" w:hAnsi="Times New Roman"/>
          <w:sz w:val="28"/>
          <w:szCs w:val="28"/>
        </w:rPr>
        <w:t>ling education!  We are delighted that you have decided to take classes with us towards your growth in your career, love for others and love for God.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This handbook is to inform you of the various requirements requested of our students in our efforts to ensure that students graduate with a strong professional counselor identity while demonstrating both knowledge and skill across the curriculum as well as professional dispositions.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Here you would find;</w:t>
      </w: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Course </w:t>
      </w:r>
      <w:r>
        <w:rPr>
          <w:rFonts w:ascii="Times New Roman" w:cs="Times New Roman" w:hAnsi="Times New Roman"/>
          <w:sz w:val="28"/>
          <w:szCs w:val="28"/>
        </w:rPr>
        <w:t>program</w:t>
      </w:r>
      <w:r>
        <w:rPr>
          <w:rFonts w:ascii="Times New Roman" w:cs="Times New Roman" w:hAnsi="Times New Roman"/>
          <w:sz w:val="28"/>
          <w:szCs w:val="28"/>
        </w:rPr>
        <w:t xml:space="preserve"> breakdown</w:t>
      </w: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Registration and fees procedures</w:t>
      </w:r>
    </w:p>
    <w:p>
      <w:pPr>
        <w:pStyle w:val="style179"/>
        <w:numPr>
          <w:ilvl w:val="0"/>
          <w:numId w:val="1"/>
        </w:numPr>
        <w:ind w:left="0" w:firstLine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Order of Study, Prerequisites, Coursework Transfer &amp; Grading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Please keep this handbook as a reference for any question you may have regarding the administration of your course. If you are unable to locate a particular answer, please contact ADI student services at </w:t>
      </w:r>
      <w:r>
        <w:rPr/>
        <w:fldChar w:fldCharType="begin"/>
      </w:r>
      <w:r>
        <w:instrText xml:space="preserve"> HYPERLINK "mailto:adinigeria@gmail.com"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  <w:szCs w:val="28"/>
        </w:rPr>
        <w:t>adinigeria@gmail.com</w:t>
      </w:r>
      <w:r>
        <w:rPr/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 or 0701-827-9969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Thank you fo</w:t>
      </w:r>
      <w:r>
        <w:rPr>
          <w:rFonts w:ascii="Times New Roman" w:cs="Times New Roman" w:hAnsi="Times New Roman"/>
          <w:sz w:val="28"/>
          <w:szCs w:val="28"/>
        </w:rPr>
        <w:t>r joining us at the ADI Counsel</w:t>
      </w:r>
      <w:r>
        <w:rPr>
          <w:rFonts w:ascii="Times New Roman" w:cs="Times New Roman" w:hAnsi="Times New Roman"/>
          <w:sz w:val="28"/>
          <w:szCs w:val="28"/>
        </w:rPr>
        <w:t>ing School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Course Registration and Fees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Registration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Students can either start our classes by registering for the Foundation Class or Basic Class before going further with</w:t>
      </w:r>
      <w:r>
        <w:rPr>
          <w:rFonts w:ascii="Times New Roman" w:cs="Times New Roman" w:hAnsi="Times New Roman"/>
          <w:sz w:val="24"/>
          <w:szCs w:val="24"/>
        </w:rPr>
        <w:t xml:space="preserve"> any other course in ADI C</w:t>
      </w:r>
      <w:r>
        <w:rPr>
          <w:rFonts w:ascii="Times New Roman" w:cs="Times New Roman" w:hAnsi="Times New Roman"/>
          <w:sz w:val="24"/>
          <w:szCs w:val="24"/>
        </w:rPr>
        <w:t>ounse</w:t>
      </w:r>
      <w:r>
        <w:rPr>
          <w:rFonts w:ascii="Times New Roman" w:cs="Times New Roman" w:hAnsi="Times New Roman"/>
          <w:sz w:val="24"/>
          <w:szCs w:val="24"/>
        </w:rPr>
        <w:t>ling School to ensure you ha</w:t>
      </w:r>
      <w:r>
        <w:rPr>
          <w:rFonts w:ascii="Times New Roman" w:cs="Times New Roman" w:hAnsi="Times New Roman"/>
          <w:sz w:val="24"/>
          <w:szCs w:val="24"/>
        </w:rPr>
        <w:t>ve a solid foundation in counse</w:t>
      </w:r>
      <w:r>
        <w:rPr>
          <w:rFonts w:ascii="Times New Roman" w:cs="Times New Roman" w:hAnsi="Times New Roman"/>
          <w:sz w:val="24"/>
          <w:szCs w:val="24"/>
        </w:rPr>
        <w:t>ling.</w:t>
      </w:r>
      <w:r>
        <w:rPr>
          <w:rFonts w:ascii="Times New Roman" w:cs="Times New Roman" w:hAnsi="Times New Roman"/>
          <w:sz w:val="24"/>
          <w:szCs w:val="24"/>
        </w:rPr>
        <w:t xml:space="preserve"> A registration form and passport photograph is required to register.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Our Course</w:t>
      </w:r>
      <w:r>
        <w:rPr>
          <w:rFonts w:ascii="Times New Roman" w:cs="Times New Roman" w:hAnsi="Times New Roman"/>
          <w:sz w:val="24"/>
          <w:szCs w:val="24"/>
          <w:u w:val="single"/>
        </w:rPr>
        <w:t>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DIPLOMA COURSE</w:t>
      </w:r>
    </w:p>
    <w:tbl>
      <w:tblPr>
        <w:tblStyle w:val="style154"/>
        <w:tblW w:w="9515" w:type="dxa"/>
        <w:tblLook w:val="04A0" w:firstRow="1" w:lastRow="0" w:firstColumn="1" w:lastColumn="0" w:noHBand="0" w:noVBand="1"/>
      </w:tblPr>
      <w:tblGrid>
        <w:gridCol w:w="5316"/>
        <w:gridCol w:w="1691"/>
        <w:gridCol w:w="1415"/>
        <w:gridCol w:w="1094"/>
      </w:tblGrid>
      <w:tr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Credits/ Units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Foundations of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Understanding Psychology &amp; Human Differences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Person of the Counsellor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103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Counselling Skills&amp; Processes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104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Theories of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105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Children &amp;Teenage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106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Understanding A Child’s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Personality &amp; Career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107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Marriage &amp; Family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Understanding Mental Health/ Addiction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Crisis/Trauma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Christian Counselling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Report Writing/Progress Note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Pre-Marital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Ethics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Considerations in Professional 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ounse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Understanding Therapy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Emotional Intelligence: Self Awareness &amp; Empathy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116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Sex Therapy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117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Grief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118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Research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119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ADVANCED </w:t>
      </w:r>
      <w:r>
        <w:rPr>
          <w:rFonts w:ascii="Times New Roman" w:cs="Times New Roman" w:hAnsi="Times New Roman"/>
          <w:sz w:val="24"/>
          <w:szCs w:val="24"/>
        </w:rPr>
        <w:t>DIPLOMA</w:t>
      </w:r>
      <w:r>
        <w:rPr>
          <w:rFonts w:ascii="Times New Roman" w:cs="Times New Roman" w:hAnsi="Times New Roman"/>
          <w:sz w:val="24"/>
          <w:szCs w:val="24"/>
        </w:rPr>
        <w:t xml:space="preserve"> COURSE</w:t>
      </w:r>
    </w:p>
    <w:tbl>
      <w:tblPr>
        <w:tblStyle w:val="style154"/>
        <w:tblW w:w="9515" w:type="dxa"/>
        <w:tblLook w:val="04A0" w:firstRow="1" w:lastRow="0" w:firstColumn="1" w:lastColumn="0" w:noHBand="0" w:noVBand="1"/>
      </w:tblPr>
      <w:tblGrid>
        <w:gridCol w:w="5317"/>
        <w:gridCol w:w="1690"/>
        <w:gridCol w:w="1415"/>
        <w:gridCol w:w="1094"/>
      </w:tblGrid>
      <w:tr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Credits/ Units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The Beginning Counsellor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Theories of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Work place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Developing Therapeutic Alliance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Setting up a Practice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1- 4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Faith - based Counselling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Addiction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Personal Therapy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Marriage Counselling 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Assessment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In Counselling &amp; Psychotherapy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Pre - marital Counselling 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Counselling  Business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Public Speaking for Counse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lors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Online Marketing &amp; Business Branding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Trauma Counselling 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Sex Therapy 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Online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Play Therapy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Research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Methodology in Counselling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Counselling Advocacy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Introduction to Mindfulness &amp; Mind Reading in Therapy Quantum Reality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Project Writing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Practicum/Internship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DPC 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</w:t>
            </w:r>
          </w:p>
        </w:tc>
      </w:tr>
      <w:tr>
        <w:tblPrEx/>
        <w:trPr/>
        <w:tc>
          <w:tcPr>
            <w:tcW w:w="5353" w:type="dxa"/>
            <w:tcBorders/>
          </w:tcPr>
          <w:p>
            <w:pPr>
              <w:pStyle w:val="style0"/>
              <w:tabs>
                <w:tab w:val="left" w:leader="none" w:pos="3270"/>
              </w:tabs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168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</w:t>
      </w:r>
      <w:r>
        <w:rPr>
          <w:rFonts w:ascii="Times New Roman" w:cs="Times New Roman" w:hAnsi="Times New Roman"/>
          <w:sz w:val="24"/>
          <w:szCs w:val="24"/>
        </w:rPr>
        <w:t>Dynamics of Biblical Counseling</w:t>
      </w:r>
      <w:r>
        <w:rPr>
          <w:rFonts w:ascii="Times New Roman" w:cs="Times New Roman" w:hAnsi="Times New Roman"/>
          <w:sz w:val="24"/>
          <w:szCs w:val="24"/>
        </w:rPr>
        <w:t xml:space="preserve"> and Theology &amp;Secular Counseling are CCEF courses, which are optional</w:t>
      </w:r>
      <w:r>
        <w:rPr>
          <w:rFonts w:ascii="Times New Roman" w:cs="Times New Roman" w:hAnsi="Times New Roman"/>
          <w:sz w:val="24"/>
          <w:szCs w:val="24"/>
        </w:rPr>
        <w:t xml:space="preserve"> and taken online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*Practicum/ Internship are compulsory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*Our 1 year Masters in Counseling is </w:t>
      </w:r>
      <w:r>
        <w:rPr>
          <w:rFonts w:ascii="Times New Roman" w:cs="Times New Roman" w:hAnsi="Times New Roman"/>
          <w:sz w:val="24"/>
          <w:szCs w:val="24"/>
        </w:rPr>
        <w:t>alsoongoing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Tuition,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Fees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&amp; Discount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Current course tuition can be requested from school admin/ student service. The tuition usually is inclusive of tea break, lunch, course material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, practicum and certificate. Students would have to make provision to get </w:t>
      </w:r>
      <w:r>
        <w:rPr>
          <w:rFonts w:ascii="Times New Roman" w:cs="Times New Roman" w:hAnsi="Times New Roman"/>
          <w:sz w:val="24"/>
          <w:szCs w:val="24"/>
        </w:rPr>
        <w:t>required text</w:t>
      </w:r>
      <w:r>
        <w:rPr>
          <w:rFonts w:ascii="Times New Roman" w:cs="Times New Roman" w:hAnsi="Times New Roman"/>
          <w:sz w:val="24"/>
          <w:szCs w:val="24"/>
        </w:rPr>
        <w:t>books and other study materials requested in the course.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Tuition should be paid in full before class start, if you would need an inst</w:t>
      </w:r>
      <w:r>
        <w:rPr>
          <w:rFonts w:ascii="Times New Roman" w:cs="Times New Roman" w:hAnsi="Times New Roman"/>
          <w:sz w:val="24"/>
          <w:szCs w:val="24"/>
        </w:rPr>
        <w:t xml:space="preserve">alment payment plan, </w:t>
      </w:r>
      <w:r>
        <w:rPr>
          <w:rFonts w:ascii="Times New Roman" w:cs="Times New Roman" w:hAnsi="Times New Roman"/>
          <w:sz w:val="24"/>
          <w:szCs w:val="24"/>
        </w:rPr>
        <w:t>make your request known</w:t>
      </w:r>
      <w:r>
        <w:rPr>
          <w:rFonts w:ascii="Times New Roman" w:cs="Times New Roman" w:hAnsi="Times New Roman"/>
          <w:sz w:val="24"/>
          <w:szCs w:val="24"/>
        </w:rPr>
        <w:t xml:space="preserve"> to Admin/Student service</w:t>
      </w:r>
      <w:r>
        <w:rPr>
          <w:rFonts w:ascii="Times New Roman" w:cs="Times New Roman" w:hAnsi="Times New Roman"/>
          <w:sz w:val="24"/>
          <w:szCs w:val="24"/>
        </w:rPr>
        <w:t xml:space="preserve"> before class starts.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Discount are available for referrals, group participation and family members enrolling for a course the first family member had already taken with ADI. Discount are always available for students taking other CCEF courses through ADI. To receive this discount</w:t>
      </w:r>
      <w:r>
        <w:rPr>
          <w:rFonts w:ascii="Times New Roman" w:cs="Times New Roman" w:hAnsi="Times New Roman"/>
          <w:sz w:val="24"/>
          <w:szCs w:val="24"/>
        </w:rPr>
        <w:t xml:space="preserve"> and get more information about our discounts and incentive, please contact Admin/student service </w:t>
      </w:r>
      <w:r>
        <w:rPr/>
        <w:fldChar w:fldCharType="begin"/>
      </w:r>
      <w:r>
        <w:instrText xml:space="preserve"> HYPERLINK "mailto:adinigeria@gmail.com"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adinigeria@gmail.com</w:t>
      </w:r>
      <w:r>
        <w:rPr/>
        <w:fldChar w:fldCharType="end"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Order of 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tudy,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Prerequisites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, Coursework Transfer &amp; Grading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 advise that students begin their studies with the foundation course which is op</w:t>
      </w:r>
      <w:r>
        <w:rPr>
          <w:rFonts w:ascii="Times New Roman" w:cs="Times New Roman" w:hAnsi="Times New Roman"/>
          <w:sz w:val="24"/>
          <w:szCs w:val="24"/>
        </w:rPr>
        <w:t>tional if</w:t>
      </w:r>
      <w:r>
        <w:rPr>
          <w:rFonts w:ascii="Times New Roman" w:cs="Times New Roman" w:hAnsi="Times New Roman"/>
          <w:sz w:val="24"/>
          <w:szCs w:val="24"/>
        </w:rPr>
        <w:t xml:space="preserve"> you had taken any counselling course previously or had standard counseling exposure and experience. However, the Basic Course is a prerequisite t</w:t>
      </w:r>
      <w:r>
        <w:rPr>
          <w:rFonts w:ascii="Times New Roman" w:cs="Times New Roman" w:hAnsi="Times New Roman"/>
          <w:sz w:val="24"/>
          <w:szCs w:val="24"/>
        </w:rPr>
        <w:t>o partake in the Advance course;</w:t>
      </w:r>
      <w:r>
        <w:rPr>
          <w:rFonts w:ascii="Times New Roman" w:cs="Times New Roman" w:hAnsi="Times New Roman"/>
          <w:sz w:val="24"/>
          <w:szCs w:val="24"/>
        </w:rPr>
        <w:t xml:space="preserve"> a counseling course taken from another institute cannot substitu</w:t>
      </w:r>
      <w:r>
        <w:rPr>
          <w:rFonts w:ascii="Times New Roman" w:cs="Times New Roman" w:hAnsi="Times New Roman"/>
          <w:sz w:val="24"/>
          <w:szCs w:val="24"/>
        </w:rPr>
        <w:t>te for it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nevertheless participants could request a copy of their course records to be sent at a fee to an educational institute, employer or personal address.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All three certificates can be completed in one calendar year however students </w:t>
      </w:r>
      <w:r>
        <w:rPr>
          <w:rFonts w:ascii="Times New Roman" w:cs="Times New Roman" w:hAnsi="Times New Roman"/>
          <w:sz w:val="24"/>
          <w:szCs w:val="24"/>
        </w:rPr>
        <w:t>must have</w:t>
      </w:r>
      <w:r>
        <w:rPr>
          <w:rFonts w:ascii="Times New Roman" w:cs="Times New Roman" w:hAnsi="Times New Roman"/>
          <w:sz w:val="24"/>
          <w:szCs w:val="24"/>
        </w:rPr>
        <w:t xml:space="preserve"> a ‘D’ or higher</w:t>
      </w:r>
      <w:r>
        <w:rPr>
          <w:rFonts w:ascii="Times New Roman" w:cs="Times New Roman" w:hAnsi="Times New Roman"/>
          <w:sz w:val="24"/>
          <w:szCs w:val="24"/>
        </w:rPr>
        <w:t xml:space="preserve"> grade</w:t>
      </w:r>
      <w:r>
        <w:rPr>
          <w:rFonts w:ascii="Times New Roman" w:cs="Times New Roman" w:hAnsi="Times New Roman"/>
          <w:sz w:val="24"/>
          <w:szCs w:val="24"/>
        </w:rPr>
        <w:t xml:space="preserve"> to earn a certificate</w:t>
      </w:r>
      <w:r>
        <w:rPr>
          <w:rFonts w:ascii="Times New Roman" w:cs="Times New Roman" w:hAnsi="Times New Roman"/>
          <w:sz w:val="24"/>
          <w:szCs w:val="24"/>
        </w:rPr>
        <w:t xml:space="preserve"> at the end of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 xml:space="preserve">course,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Here is our Grading scale: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A- Excellent (90 above) B- Very Good (80-99) C- Good (70-79) D –Pass (50-69) F- Fail (49 below)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Our co</w:t>
      </w:r>
      <w:r>
        <w:rPr>
          <w:rFonts w:ascii="Times New Roman" w:cs="Times New Roman" w:hAnsi="Times New Roman"/>
          <w:sz w:val="24"/>
          <w:szCs w:val="24"/>
        </w:rPr>
        <w:t>u</w:t>
      </w:r>
      <w:r>
        <w:rPr>
          <w:rFonts w:ascii="Times New Roman" w:cs="Times New Roman" w:hAnsi="Times New Roman"/>
          <w:sz w:val="24"/>
          <w:szCs w:val="24"/>
        </w:rPr>
        <w:t>rses are offered on a termly</w:t>
      </w:r>
      <w:r>
        <w:rPr>
          <w:rFonts w:ascii="Times New Roman" w:cs="Times New Roman" w:hAnsi="Times New Roman"/>
          <w:sz w:val="24"/>
          <w:szCs w:val="24"/>
        </w:rPr>
        <w:t xml:space="preserve"> and in-between term</w:t>
      </w:r>
      <w:r>
        <w:rPr>
          <w:rFonts w:ascii="Times New Roman" w:cs="Times New Roman" w:hAnsi="Times New Roman"/>
          <w:sz w:val="24"/>
          <w:szCs w:val="24"/>
        </w:rPr>
        <w:t xml:space="preserve"> basis, however you would need to check our website </w:t>
      </w:r>
      <w:r>
        <w:rPr/>
        <w:fldChar w:fldCharType="begin"/>
      </w:r>
      <w:r>
        <w:instrText xml:space="preserve"> HYPERLINK "http://www.adi.com.ng"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www.adi.com.ng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for details of scheduled course period</w:t>
      </w:r>
      <w:r>
        <w:rPr>
          <w:rFonts w:ascii="Times New Roman" w:cs="Times New Roman" w:hAnsi="Times New Roman"/>
          <w:sz w:val="24"/>
          <w:szCs w:val="24"/>
        </w:rPr>
        <w:t xml:space="preserve"> and time required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Assignment/Essays/Project/Examination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key part of your learning experience with us is</w:t>
      </w:r>
      <w:r>
        <w:rPr>
          <w:rFonts w:ascii="Times New Roman" w:cs="Times New Roman" w:hAnsi="Times New Roman"/>
          <w:sz w:val="24"/>
          <w:szCs w:val="24"/>
        </w:rPr>
        <w:t xml:space="preserve"> the assignments, essays, project, practicum and/or exam</w:t>
      </w:r>
      <w:r>
        <w:rPr>
          <w:rFonts w:ascii="Times New Roman" w:cs="Times New Roman" w:hAnsi="Times New Roman"/>
          <w:sz w:val="24"/>
          <w:szCs w:val="24"/>
        </w:rPr>
        <w:t xml:space="preserve">ination as would be requested of you towards a successful completion of your course. </w:t>
      </w:r>
      <w:r>
        <w:rPr>
          <w:rFonts w:ascii="Times New Roman" w:cs="Times New Roman" w:hAnsi="Times New Roman"/>
          <w:sz w:val="24"/>
          <w:szCs w:val="24"/>
        </w:rPr>
        <w:t>If you do not turn in an essay or final paper/project on the due date, you would have a 10 point off per day till the 4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day. After the fourth day, you would automatically fail that work.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262626"/>
          <w:sz w:val="24"/>
          <w:szCs w:val="24"/>
          <w:lang w:eastAsia="en-GB"/>
        </w:rPr>
        <w:br/>
      </w:r>
      <w:r>
        <w:rPr>
          <w:rFonts w:ascii="Times New Roman" w:cs="Times New Roman" w:eastAsia="Times New Roman" w:hAnsi="Times New Roman"/>
          <w:color w:val="262626"/>
          <w:sz w:val="24"/>
          <w:szCs w:val="24"/>
          <w:lang w:eastAsia="en-GB"/>
        </w:rPr>
        <w:t>Stude</w:t>
      </w:r>
      <w:r>
        <w:rPr>
          <w:rFonts w:ascii="Times New Roman" w:cs="Times New Roman" w:eastAsia="Times New Roman" w:hAnsi="Times New Roman"/>
          <w:color w:val="262626"/>
          <w:sz w:val="24"/>
          <w:szCs w:val="24"/>
          <w:lang w:eastAsia="en-GB"/>
        </w:rPr>
        <w:t>nts are required to complete a 7 or 8</w:t>
      </w:r>
      <w:r>
        <w:rPr>
          <w:rFonts w:ascii="Times New Roman" w:cs="Times New Roman" w:eastAsia="Times New Roman" w:hAnsi="Times New Roman"/>
          <w:color w:val="262626"/>
          <w:sz w:val="24"/>
          <w:szCs w:val="24"/>
          <w:lang w:eastAsia="en-GB"/>
        </w:rPr>
        <w:t xml:space="preserve"> week practicum in conjunction with their counseling curriculum. </w:t>
      </w:r>
      <w:r>
        <w:rPr>
          <w:rFonts w:ascii="Times New Roman" w:cs="Times New Roman" w:hAnsi="Times New Roman"/>
          <w:sz w:val="24"/>
          <w:szCs w:val="24"/>
        </w:rPr>
        <w:t>You would be notified when your practicum or internship exercise is to commence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if </w:t>
      </w:r>
      <w:r>
        <w:rPr>
          <w:rFonts w:ascii="Times New Roman" w:cs="Times New Roman" w:hAnsi="Times New Roman"/>
          <w:sz w:val="24"/>
          <w:szCs w:val="24"/>
        </w:rPr>
        <w:t>y</w:t>
      </w:r>
      <w:r>
        <w:rPr>
          <w:rFonts w:ascii="Times New Roman" w:cs="Times New Roman" w:hAnsi="Times New Roman"/>
          <w:sz w:val="24"/>
          <w:szCs w:val="24"/>
        </w:rPr>
        <w:t>ou cannot take the practicum</w:t>
      </w:r>
      <w:r>
        <w:rPr>
          <w:rFonts w:ascii="Times New Roman" w:cs="Times New Roman" w:hAnsi="Times New Roman"/>
          <w:sz w:val="24"/>
          <w:szCs w:val="24"/>
        </w:rPr>
        <w:t>, internship</w:t>
      </w:r>
      <w:r>
        <w:rPr>
          <w:rFonts w:ascii="Times New Roman" w:cs="Times New Roman" w:hAnsi="Times New Roman"/>
          <w:sz w:val="24"/>
          <w:szCs w:val="24"/>
        </w:rPr>
        <w:t xml:space="preserve"> or exam</w:t>
      </w:r>
      <w:r>
        <w:rPr>
          <w:rFonts w:ascii="Times New Roman" w:cs="Times New Roman" w:hAnsi="Times New Roman"/>
          <w:sz w:val="24"/>
          <w:szCs w:val="24"/>
        </w:rPr>
        <w:t>ination</w:t>
      </w:r>
      <w:r>
        <w:rPr>
          <w:rFonts w:ascii="Times New Roman" w:cs="Times New Roman" w:hAnsi="Times New Roman"/>
          <w:sz w:val="24"/>
          <w:szCs w:val="24"/>
        </w:rPr>
        <w:t xml:space="preserve"> during the assigned time, contact student service and make arrangement to </w:t>
      </w:r>
      <w:r>
        <w:rPr>
          <w:rFonts w:ascii="Times New Roman" w:cs="Times New Roman" w:hAnsi="Times New Roman"/>
          <w:sz w:val="24"/>
          <w:szCs w:val="24"/>
        </w:rPr>
        <w:t>reschedule;</w:t>
      </w:r>
      <w:r>
        <w:rPr>
          <w:rFonts w:ascii="Times New Roman" w:cs="Times New Roman" w:hAnsi="Times New Roman"/>
          <w:sz w:val="24"/>
          <w:szCs w:val="24"/>
        </w:rPr>
        <w:t xml:space="preserve"> otherwise it would be counted for you as failure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Books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Students must purchase separately: Love Executioner and other Tales of Psychotherapy  both by Elvin Yalom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Special Requests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Students with special request</w:t>
      </w:r>
      <w:r>
        <w:rPr>
          <w:rFonts w:ascii="Times New Roman" w:cs="Times New Roman" w:hAnsi="Times New Roman"/>
          <w:sz w:val="24"/>
          <w:szCs w:val="24"/>
        </w:rPr>
        <w:t xml:space="preserve"> towards easy participation in</w:t>
      </w:r>
      <w:r>
        <w:rPr>
          <w:rFonts w:ascii="Times New Roman" w:cs="Times New Roman" w:hAnsi="Times New Roman"/>
          <w:sz w:val="24"/>
          <w:szCs w:val="24"/>
        </w:rPr>
        <w:t xml:space="preserve"> course work or make up class should not hesitate to contact Admin/student services. 70% attendance is required for successful completion, failure to adhere would request the student to withdraw and enroll in the next class with a minimal fee.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Every student is expected to participate in ADI annual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ounselors’ retreat/conference in Nigeria, and interested participants in CCEF annual counselling conference in the USA should likewise notify the Admin/student service.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Penalty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Active participation in class work and activities is required as class resumes 9am daily, lateness and lack of participation attracts a fine. Name tags should be pinned visibly and dropped after each class, loss of name tags also attracts a fine. Misconduct and other inappropriate behavior will attract disciplinary actions.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Licensure, Accreditation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Approval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and Partnership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ADI is registered as a </w:t>
      </w: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</w:rPr>
        <w:t>ounselin</w:t>
      </w:r>
      <w:r>
        <w:rPr>
          <w:rFonts w:ascii="Times New Roman" w:cs="Times New Roman" w:hAnsi="Times New Roman"/>
          <w:sz w:val="24"/>
          <w:szCs w:val="24"/>
        </w:rPr>
        <w:t xml:space="preserve">g and 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</w:rPr>
        <w:t>ducational service with Cooperate A</w:t>
      </w:r>
      <w:r>
        <w:rPr>
          <w:rFonts w:ascii="Times New Roman" w:cs="Times New Roman" w:hAnsi="Times New Roman"/>
          <w:sz w:val="24"/>
          <w:szCs w:val="24"/>
        </w:rPr>
        <w:t xml:space="preserve">ffairs </w:t>
      </w: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 xml:space="preserve">ommission, Nigeria and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have been given </w:t>
      </w:r>
      <w:r>
        <w:rPr>
          <w:rFonts w:ascii="Times New Roman" w:cs="Times New Roman" w:hAnsi="Times New Roman"/>
          <w:sz w:val="24"/>
          <w:szCs w:val="24"/>
        </w:rPr>
        <w:t>approval from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both</w:t>
      </w:r>
      <w:r>
        <w:rPr>
          <w:rFonts w:ascii="Times New Roman" w:cs="Times New Roman" w:hAnsi="Times New Roman"/>
          <w:sz w:val="24"/>
          <w:szCs w:val="24"/>
        </w:rPr>
        <w:t xml:space="preserve"> the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Federal and State </w:t>
      </w:r>
      <w:r>
        <w:rPr>
          <w:rFonts w:ascii="Times New Roman" w:cs="Times New Roman" w:hAnsi="Times New Roman"/>
          <w:sz w:val="24"/>
          <w:szCs w:val="24"/>
        </w:rPr>
        <w:t>Ministry of Education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working on our accreditation. </w:t>
      </w:r>
      <w:r>
        <w:rPr>
          <w:rFonts w:ascii="Times New Roman" w:cs="Times New Roman" w:hAnsi="Times New Roman"/>
          <w:sz w:val="24"/>
          <w:szCs w:val="24"/>
        </w:rPr>
        <w:t xml:space="preserve">Our Professional </w:t>
      </w:r>
      <w:r>
        <w:rPr>
          <w:rFonts w:ascii="Times New Roman" w:cs="Times New Roman" w:hAnsi="Times New Roman"/>
          <w:sz w:val="24"/>
          <w:szCs w:val="24"/>
        </w:rPr>
        <w:t xml:space="preserve">Christian </w:t>
      </w:r>
      <w:r>
        <w:rPr>
          <w:rFonts w:ascii="Times New Roman" w:cs="Times New Roman" w:hAnsi="Times New Roman"/>
          <w:sz w:val="24"/>
          <w:szCs w:val="24"/>
        </w:rPr>
        <w:t xml:space="preserve">Counseling Course Certificate is not a license but a verification of your training so you can present yourself as a professional.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72"/>
        </w:rPr>
      </w:pPr>
      <w:r>
        <w:rPr>
          <w:rFonts w:ascii="Times New Roman" w:cs="Times New Roman" w:hAnsi="Times New Roman"/>
          <w:b/>
          <w:sz w:val="72"/>
        </w:rPr>
        <w:t>ADI CORE VALUE</w:t>
      </w:r>
    </w:p>
    <w:p>
      <w:pPr>
        <w:pStyle w:val="style0"/>
        <w:jc w:val="center"/>
        <w:rPr>
          <w:rFonts w:ascii="Times New Roman" w:cs="Times New Roman" w:hAnsi="Times New Roman"/>
          <w:b/>
          <w:sz w:val="96"/>
          <w:szCs w:val="96"/>
        </w:rPr>
      </w:pPr>
      <w:r>
        <w:rPr>
          <w:rFonts w:ascii="Times New Roman" w:cs="Times New Roman" w:hAnsi="Times New Roman"/>
          <w:b/>
          <w:sz w:val="96"/>
          <w:szCs w:val="96"/>
        </w:rPr>
        <w:t>KEEP</w:t>
      </w:r>
    </w:p>
    <w:p>
      <w:pPr>
        <w:pStyle w:val="style0"/>
        <w:rPr>
          <w:rFonts w:ascii="Cambria" w:hAnsi="Cambria"/>
          <w:b/>
        </w:rPr>
      </w:pPr>
    </w:p>
    <w:p>
      <w:pPr>
        <w:pStyle w:val="style0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K - KNOWLEDGE</w:t>
      </w:r>
    </w:p>
    <w:p>
      <w:pPr>
        <w:pStyle w:val="style0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E – EMPATHY</w:t>
      </w:r>
    </w:p>
    <w:p>
      <w:pPr>
        <w:pStyle w:val="style0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E - EXCELLENCE</w:t>
      </w:r>
    </w:p>
    <w:p>
      <w:pPr>
        <w:pStyle w:val="style0"/>
        <w:rPr>
          <w:rFonts w:ascii="Cambria" w:hAnsi="Cambria"/>
          <w:b/>
          <w:sz w:val="44"/>
        </w:rPr>
      </w:pPr>
      <w:r>
        <w:rPr>
          <w:rFonts w:ascii="Cambria" w:hAnsi="Cambria"/>
          <w:b/>
          <w:sz w:val="44"/>
        </w:rPr>
        <w:t>P - PASSION/PROFITABILITY</w:t>
      </w:r>
      <w:r>
        <w:rPr>
          <w:rFonts w:ascii="Cambria" w:hAnsi="Cambria"/>
          <w:b/>
          <w:sz w:val="4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                                       </w:t>
    </w:r>
    <w:r>
      <w:rPr/>
      <w:fldChar w:fldCharType="begin"/>
    </w:r>
    <w:r>
      <w:instrText xml:space="preserve"> HYPERLINK "http://www.adi.com" </w:instrText>
    </w:r>
    <w:r>
      <w:rPr/>
      <w:fldChar w:fldCharType="separate"/>
    </w:r>
    <w:r>
      <w:rPr>
        <w:rStyle w:val="style85"/>
      </w:rPr>
      <w:t>www.adi.com</w:t>
    </w:r>
    <w:r>
      <w:rPr/>
      <w:fldChar w:fldCharType="end"/>
    </w:r>
    <w:r>
      <w:t>.ng</w:t>
    </w:r>
    <w:r>
      <w:t xml:space="preserve">                                               </w:t>
    </w:r>
    <w:r>
      <w:t>2023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>
        <w:lang w:val="en-GB"/>
      </w:rPr>
    </w:pPr>
    <w:r>
      <w:rPr>
        <w:lang w:val="en-GB"/>
      </w:rPr>
      <w:t>ADI-CCPN</w:t>
    </w:r>
    <w:r>
      <w:rPr>
        <w:lang w:val="en-GB"/>
      </w:rPr>
      <w:t xml:space="preserve">                                                                                                                   Course Policies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7680B48"/>
    <w:lvl w:ilvl="0" w:tplc="448CFC40">
      <w:start w:val="2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3d96fcde-94ed-4a20-9204-d17b313f9972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3106c77a-5757-43ae-aebc-a66421165b69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Words>1213</Words>
  <Pages>7</Pages>
  <Characters>6454</Characters>
  <Application>WPS Office</Application>
  <DocSecurity>0</DocSecurity>
  <Paragraphs>318</Paragraphs>
  <ScaleCrop>false</ScaleCrop>
  <LinksUpToDate>false</LinksUpToDate>
  <CharactersWithSpaces>7666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2023-01-18T11:58:00Z</dcterms:created>
  <dc:creator>owner</dc:creator>
  <lastModifiedBy>TECNO CC9</lastModifiedBy>
  <dcterms:modified xsi:type="dcterms:W3CDTF">2023-01-20T11:06:17Z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6b6bf95c84bc4a388dc332f4e07777d1</vt:lpwstr>
  </property>
</Properties>
</file>